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812"/>
        <w:gridCol w:w="72"/>
        <w:gridCol w:w="767"/>
        <w:gridCol w:w="809"/>
      </w:tblGrid>
      <w:tr w:rsidR="00282002" w:rsidRPr="00282002" w:rsidTr="004148FE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282002" w:rsidRPr="00282002" w:rsidRDefault="00282002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282002" w:rsidRPr="00282002" w:rsidRDefault="00282002" w:rsidP="00FD1945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1884" w:type="dxa"/>
            <w:gridSpan w:val="6"/>
            <w:shd w:val="clear" w:color="auto" w:fill="DBE5F1" w:themeFill="accent1" w:themeFillTint="33"/>
            <w:vAlign w:val="center"/>
          </w:tcPr>
          <w:p w:rsidR="00282002" w:rsidRPr="00282002" w:rsidRDefault="00282002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DF3FD8" w:rsidRPr="00282002" w:rsidTr="00282002">
        <w:trPr>
          <w:trHeight w:val="326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DF3FD8" w:rsidRPr="00282002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282002" w:rsidTr="00282002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D90E71" w:rsidRPr="00282002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4"/>
            <w:shd w:val="clear" w:color="auto" w:fill="365F91" w:themeFill="accent1" w:themeFillShade="BF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282002" w:rsidTr="00282002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D90E71" w:rsidRPr="00282002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282002" w:rsidTr="007C6B8D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282002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D90E71" w:rsidRPr="00282002" w:rsidRDefault="002220B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Solicitud de </w:t>
            </w:r>
            <w:r w:rsidR="00FD1945" w:rsidRPr="00282002">
              <w:rPr>
                <w:rFonts w:ascii="Neo Sans Pro" w:hAnsi="Neo Sans Pro"/>
                <w:sz w:val="16"/>
                <w:szCs w:val="16"/>
              </w:rPr>
              <w:t>acceso, rectificación, cancelación u oposición de datos personales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282002" w:rsidRDefault="009825B3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282002" w:rsidTr="00282002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282002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42269E" w:rsidRPr="00282002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282002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282002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4"/>
            <w:shd w:val="clear" w:color="auto" w:fill="FFFFFF"/>
            <w:vAlign w:val="center"/>
          </w:tcPr>
          <w:p w:rsidR="0042269E" w:rsidRPr="00282002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282002" w:rsidTr="00282002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282002" w:rsidRDefault="0045360C" w:rsidP="00170DCF">
            <w:pPr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El Titular de los datos personales</w:t>
            </w:r>
            <w:r w:rsidR="006850E4" w:rsidRPr="00282002">
              <w:rPr>
                <w:rFonts w:ascii="Neo Sans Pro" w:hAnsi="Neo Sans Pro"/>
                <w:sz w:val="16"/>
                <w:szCs w:val="16"/>
              </w:rPr>
              <w:t>,</w:t>
            </w:r>
            <w:r w:rsidR="00247B81" w:rsidRPr="00282002">
              <w:rPr>
                <w:rFonts w:ascii="Neo Sans Pro" w:hAnsi="Neo Sans Pro"/>
                <w:sz w:val="16"/>
                <w:szCs w:val="16"/>
              </w:rPr>
              <w:t xml:space="preserve">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 xml:space="preserve">o en su caso </w:t>
            </w:r>
            <w:r w:rsidRPr="00282002">
              <w:rPr>
                <w:rFonts w:ascii="Neo Sans Pro" w:hAnsi="Neo Sans Pro"/>
                <w:sz w:val="16"/>
                <w:szCs w:val="16"/>
              </w:rPr>
              <w:t xml:space="preserve">su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>R</w:t>
            </w:r>
            <w:r w:rsidRPr="00282002">
              <w:rPr>
                <w:rFonts w:ascii="Neo Sans Pro" w:hAnsi="Neo Sans Pro"/>
                <w:sz w:val="16"/>
                <w:szCs w:val="16"/>
              </w:rPr>
              <w:t xml:space="preserve">epresentante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>L</w:t>
            </w:r>
            <w:r w:rsidRPr="00282002">
              <w:rPr>
                <w:rFonts w:ascii="Neo Sans Pro" w:hAnsi="Neo Sans Pro"/>
                <w:sz w:val="16"/>
                <w:szCs w:val="16"/>
              </w:rPr>
              <w:t>egal</w:t>
            </w:r>
            <w:r w:rsidR="00170DCF" w:rsidRPr="00282002">
              <w:rPr>
                <w:rFonts w:ascii="Neo Sans Pro" w:hAnsi="Neo Sans Pro"/>
                <w:sz w:val="16"/>
                <w:szCs w:val="16"/>
              </w:rPr>
              <w:t>.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CB2846" w:rsidRPr="00282002" w:rsidRDefault="002220B5" w:rsidP="00EF5AA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Cuando </w:t>
            </w:r>
            <w:r w:rsidR="001A3B63" w:rsidRPr="00282002">
              <w:rPr>
                <w:rFonts w:ascii="Neo Sans Pro" w:hAnsi="Neo Sans Pro"/>
                <w:sz w:val="16"/>
                <w:szCs w:val="16"/>
              </w:rPr>
              <w:t>el titular de los derechos solicita el acceso, rectificación, cancelación u oposición a su información personal.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82002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82002" w:rsidRDefault="00FD194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Respuesta a su solicitud</w:t>
            </w:r>
          </w:p>
        </w:tc>
      </w:tr>
      <w:tr w:rsidR="00CB2846" w:rsidRPr="00282002" w:rsidTr="00282002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282002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B2846" w:rsidRPr="00282002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82002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82002" w:rsidRDefault="00FD1945" w:rsidP="00FD1945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15 días</w:t>
            </w:r>
            <w:r w:rsidR="00563094" w:rsidRPr="00282002">
              <w:rPr>
                <w:rFonts w:ascii="Neo Sans Pro" w:hAnsi="Neo Sans Pro"/>
                <w:sz w:val="16"/>
                <w:szCs w:val="16"/>
              </w:rPr>
              <w:t xml:space="preserve"> hábiles</w:t>
            </w:r>
          </w:p>
        </w:tc>
      </w:tr>
      <w:tr w:rsidR="002C2335" w:rsidRPr="00282002" w:rsidTr="00282002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3B19B6" w:rsidRPr="00282002" w:rsidTr="0029532D">
        <w:trPr>
          <w:trHeight w:val="443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3B19B6" w:rsidRPr="00282002" w:rsidRDefault="003B19B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3B19B6" w:rsidRPr="00282002" w:rsidRDefault="003B19B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3B19B6" w:rsidRPr="00282002" w:rsidRDefault="003B19B6" w:rsidP="00830E9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282002">
              <w:rPr>
                <w:rFonts w:ascii="Neo Sans Pro" w:hAnsi="Neo Sans Pro"/>
                <w:b/>
                <w:sz w:val="14"/>
                <w:szCs w:val="14"/>
              </w:rPr>
              <w:t>Queja ante la Contraloría General y/o Visitaduría General</w:t>
            </w:r>
          </w:p>
        </w:tc>
      </w:tr>
      <w:tr w:rsidR="002C2335" w:rsidRPr="00282002" w:rsidTr="00282002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82002" w:rsidRDefault="0045360C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2C2335" w:rsidRPr="00282002" w:rsidTr="00282002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2C2335" w:rsidRPr="00282002" w:rsidRDefault="00FD1945" w:rsidP="00FD1945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Se vulnera el derecho humano a la protección de datos personales de los particulares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82002" w:rsidRDefault="000D4789" w:rsidP="000D4789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SARCO-01</w:t>
            </w:r>
          </w:p>
        </w:tc>
      </w:tr>
      <w:tr w:rsidR="002C2335" w:rsidRPr="00282002" w:rsidTr="00282002">
        <w:trPr>
          <w:trHeight w:val="276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282002" w:rsidTr="007C6B8D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830E93" w:rsidRPr="00282002" w:rsidRDefault="00FD1945" w:rsidP="00830E93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Solicitud </w:t>
            </w:r>
            <w:r w:rsidR="001A3B63" w:rsidRPr="00282002">
              <w:rPr>
                <w:rFonts w:ascii="Neo Sans Pro" w:hAnsi="Neo Sans Pro"/>
                <w:sz w:val="16"/>
                <w:szCs w:val="16"/>
              </w:rPr>
              <w:t>por escrito</w:t>
            </w:r>
            <w:r w:rsidR="0045360C" w:rsidRPr="00282002">
              <w:rPr>
                <w:rFonts w:ascii="Neo Sans Pro" w:hAnsi="Neo Sans Pro"/>
                <w:sz w:val="16"/>
                <w:szCs w:val="16"/>
              </w:rPr>
              <w:t xml:space="preserve">, mediante la plataforma electrónica </w:t>
            </w:r>
            <w:r w:rsidR="00563094" w:rsidRPr="00282002">
              <w:rPr>
                <w:rFonts w:ascii="Neo Sans Pro" w:hAnsi="Neo Sans Pro"/>
                <w:sz w:val="16"/>
                <w:szCs w:val="16"/>
              </w:rPr>
              <w:t>habilitada para tal efecto</w:t>
            </w:r>
            <w:r w:rsidR="0045360C" w:rsidRPr="00282002">
              <w:rPr>
                <w:rFonts w:ascii="Neo Sans Pro" w:hAnsi="Neo Sans Pro"/>
                <w:sz w:val="16"/>
                <w:szCs w:val="16"/>
              </w:rPr>
              <w:t>,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 xml:space="preserve"> o </w:t>
            </w:r>
            <w:r w:rsidR="0045360C" w:rsidRPr="00282002">
              <w:rPr>
                <w:rFonts w:ascii="Neo Sans Pro" w:hAnsi="Neo Sans Pro"/>
                <w:sz w:val="16"/>
                <w:szCs w:val="16"/>
              </w:rPr>
              <w:t xml:space="preserve"> por correo electrónico.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Nombre del ente público a quien se dirija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Nombre completo del titular y, en su caso, el de su representante legal*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Descripción clara y precisa de los datos personales respecto de los que se busca ejercer alguno de los derechos antes mencionados,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Cualquier otro elemento que facilite su localización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El domicilio, mismo que debe encontrarse dentro de la capital del Estado, o medio electrónico para recibir notificaciones; y</w:t>
            </w:r>
          </w:p>
          <w:p w:rsidR="00830E93" w:rsidRPr="00282002" w:rsidRDefault="00830E93" w:rsidP="00ED3744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Opcionalmente, la modalidad en la que se prefiere se otorgue el acceso a sus datos personales, la cual podrá ser consulta directa, copias simples o certificadas. 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282002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282002" w:rsidRDefault="009E0C5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9"/>
            <w:vMerge w:val="restart"/>
            <w:shd w:val="clear" w:color="auto" w:fill="auto"/>
            <w:vAlign w:val="center"/>
          </w:tcPr>
          <w:p w:rsidR="002C2335" w:rsidRPr="00282002" w:rsidRDefault="009D5085" w:rsidP="00FA3FE0">
            <w:pPr>
              <w:jc w:val="both"/>
              <w:rPr>
                <w:rFonts w:ascii="Neo Sans Pro" w:hAnsi="Neo Sans Pro"/>
                <w:sz w:val="14"/>
                <w:szCs w:val="14"/>
              </w:rPr>
            </w:pPr>
            <w:r w:rsidRPr="00282002">
              <w:rPr>
                <w:rFonts w:ascii="Neo Sans Pro" w:hAnsi="Neo Sans Pro"/>
                <w:sz w:val="14"/>
                <w:szCs w:val="14"/>
              </w:rPr>
              <w:t xml:space="preserve">Artículo 6 </w:t>
            </w:r>
            <w:r w:rsidR="000D25F0" w:rsidRPr="00282002">
              <w:rPr>
                <w:rFonts w:ascii="Neo Sans Pro" w:hAnsi="Neo Sans Pro"/>
                <w:sz w:val="14"/>
                <w:szCs w:val="14"/>
              </w:rPr>
              <w:t xml:space="preserve">apartado A, </w:t>
            </w:r>
            <w:r w:rsidRPr="00282002">
              <w:rPr>
                <w:rFonts w:ascii="Neo Sans Pro" w:hAnsi="Neo Sans Pro"/>
                <w:sz w:val="14"/>
                <w:szCs w:val="14"/>
              </w:rPr>
              <w:t>Fracción II, III, 16 párrafo segundo de la Constitución Política de los Estados Unidos Mexicanos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;</w:t>
            </w:r>
            <w:r w:rsidR="00282002">
              <w:rPr>
                <w:rFonts w:ascii="Neo Sans Pro" w:hAnsi="Neo Sans Pro"/>
                <w:sz w:val="14"/>
                <w:szCs w:val="14"/>
              </w:rPr>
              <w:t xml:space="preserve"> 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 xml:space="preserve">Artículo </w:t>
            </w:r>
            <w:r w:rsidRPr="00282002">
              <w:rPr>
                <w:rFonts w:ascii="Neo Sans Pro" w:hAnsi="Neo Sans Pro"/>
                <w:sz w:val="14"/>
                <w:szCs w:val="14"/>
              </w:rPr>
              <w:t>6 primer párrafo de la  Constitución Política de Veracruz de Ignacio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 xml:space="preserve"> de la Llave;</w:t>
            </w:r>
            <w:r w:rsidR="009B60EF" w:rsidRPr="00282002">
              <w:rPr>
                <w:rFonts w:ascii="Neo Sans Pro" w:hAnsi="Neo Sans Pro"/>
                <w:sz w:val="14"/>
                <w:szCs w:val="14"/>
              </w:rPr>
              <w:t xml:space="preserve"> Artículo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s</w:t>
            </w:r>
            <w:r w:rsidR="009B60EF" w:rsidRPr="00282002">
              <w:rPr>
                <w:rFonts w:ascii="Neo Sans Pro" w:hAnsi="Neo Sans Pro"/>
                <w:sz w:val="14"/>
                <w:szCs w:val="14"/>
              </w:rPr>
              <w:t xml:space="preserve"> 3, 10, 44, 45, 46, 47, 48, 49, 50, 55, 56, 57 de la Ley 581 para la Tutela de los Datos Personales en el Estado de 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Veracruz de Ignacio de la Llave;</w:t>
            </w:r>
            <w:r w:rsidR="00282002">
              <w:rPr>
                <w:rFonts w:ascii="Neo Sans Pro" w:hAnsi="Neo Sans Pro"/>
                <w:sz w:val="14"/>
                <w:szCs w:val="14"/>
              </w:rPr>
              <w:t xml:space="preserve"> </w:t>
            </w:r>
            <w:r w:rsidR="00FD1945" w:rsidRPr="00282002">
              <w:rPr>
                <w:rFonts w:ascii="Neo Sans Pro" w:hAnsi="Neo Sans Pro"/>
                <w:sz w:val="14"/>
                <w:szCs w:val="14"/>
              </w:rPr>
              <w:t xml:space="preserve">Artículo 3, apartado B Fracción XIII, 223, 227 Fracción XIV del Reglamento de la Ley Orgánica de la Fiscalía General del Estado </w:t>
            </w:r>
            <w:r w:rsidR="001A3B63" w:rsidRPr="00282002">
              <w:rPr>
                <w:rFonts w:ascii="Neo Sans Pro" w:hAnsi="Neo Sans Pro"/>
                <w:sz w:val="14"/>
                <w:szCs w:val="14"/>
              </w:rPr>
              <w:t>de Veracruz de Ignacio de la Llave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;</w:t>
            </w:r>
            <w:r w:rsidR="001A3B63" w:rsidRPr="00282002">
              <w:rPr>
                <w:rFonts w:ascii="Neo Sans Pro" w:hAnsi="Neo Sans Pro"/>
                <w:sz w:val="14"/>
                <w:szCs w:val="14"/>
              </w:rPr>
              <w:t xml:space="preserve"> Artículo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s</w:t>
            </w:r>
            <w:r w:rsidR="001A3B63" w:rsidRPr="00282002">
              <w:rPr>
                <w:rFonts w:ascii="Neo Sans Pro" w:hAnsi="Neo Sans Pro"/>
                <w:sz w:val="14"/>
                <w:szCs w:val="14"/>
              </w:rPr>
              <w:t xml:space="preserve"> 3, 5 Fracción I, 8, 52, 53, 54, 55 y 57 del Reglamento para la Operación de la Unidad de Acceso a la Información Pública y el Comité de Información de Acceso Restringido de la Fiscalía General del Estado de Veracruz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;</w:t>
            </w:r>
            <w:r w:rsidR="009B60EF" w:rsidRPr="00282002">
              <w:rPr>
                <w:rFonts w:ascii="Neo Sans Pro" w:hAnsi="Neo Sans Pro"/>
                <w:sz w:val="14"/>
                <w:szCs w:val="14"/>
              </w:rPr>
              <w:t xml:space="preserve"> Artículo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s</w:t>
            </w:r>
            <w:r w:rsidR="009B60EF" w:rsidRPr="00282002">
              <w:rPr>
                <w:rFonts w:ascii="Neo Sans Pro" w:hAnsi="Neo Sans Pro"/>
                <w:sz w:val="14"/>
                <w:szCs w:val="14"/>
              </w:rPr>
              <w:t xml:space="preserve"> 42</w:t>
            </w:r>
            <w:bookmarkStart w:id="0" w:name="_GoBack"/>
            <w:bookmarkEnd w:id="0"/>
            <w:r w:rsidR="009B60EF" w:rsidRPr="00282002">
              <w:rPr>
                <w:rFonts w:ascii="Neo Sans Pro" w:hAnsi="Neo Sans Pro"/>
                <w:sz w:val="14"/>
                <w:szCs w:val="14"/>
              </w:rPr>
              <w:t>, 43, 44, 45, 46, 47, 48, 49. 50, 51, 52 de los Lineamientos para la Tutela de Datos Personales en el Estado de Veracruz de Ignacio de la Llave</w:t>
            </w:r>
            <w:r w:rsidR="001A3B63" w:rsidRPr="00282002">
              <w:rPr>
                <w:rFonts w:ascii="Neo Sans Pro" w:hAnsi="Neo Sans Pro"/>
                <w:sz w:val="14"/>
                <w:szCs w:val="14"/>
              </w:rPr>
              <w:t>.</w:t>
            </w:r>
          </w:p>
        </w:tc>
      </w:tr>
      <w:tr w:rsidR="002C2335" w:rsidRPr="00282002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82002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2.</w:t>
            </w:r>
            <w:r w:rsidR="00FD1945" w:rsidRPr="00282002">
              <w:rPr>
                <w:rFonts w:ascii="Neo Sans Pro" w:hAnsi="Neo Sans Pro"/>
                <w:sz w:val="16"/>
                <w:szCs w:val="16"/>
              </w:rPr>
              <w:t xml:space="preserve"> Identificación oficial vigente con fotografía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282002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282002" w:rsidRDefault="0045360C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82002" w:rsidTr="00563094">
        <w:trPr>
          <w:trHeight w:val="455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830E93" w:rsidRPr="00282002" w:rsidRDefault="005822F3" w:rsidP="00DC65D5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Nota: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>* Representación Legal en términos del Código Civil del Estado</w:t>
            </w:r>
            <w:r w:rsidR="00170DCF" w:rsidRPr="00282002">
              <w:rPr>
                <w:rFonts w:ascii="Neo Sans Pro" w:hAnsi="Neo Sans Pro"/>
                <w:sz w:val="16"/>
                <w:szCs w:val="16"/>
              </w:rPr>
              <w:t xml:space="preserve"> de Veracruz de Ignacio de la Llave</w:t>
            </w:r>
            <w:r w:rsidR="00563094" w:rsidRPr="00282002">
              <w:rPr>
                <w:rFonts w:ascii="Neo Sans Pro" w:hAnsi="Neo Sans Pro"/>
                <w:sz w:val="16"/>
                <w:szCs w:val="16"/>
              </w:rPr>
              <w:t>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82002" w:rsidTr="00282002">
        <w:trPr>
          <w:trHeight w:val="326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2C2335" w:rsidRPr="00282002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282002" w:rsidTr="00282002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7F4448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2C2335" w:rsidRPr="00282002" w:rsidRDefault="00F67FFD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Área</w:t>
            </w:r>
            <w:r w:rsidR="002C2335"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en la que se realiza el trámite o servicio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282002" w:rsidTr="007C6B8D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2C2335" w:rsidRPr="00282002" w:rsidRDefault="00247B81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2C2335" w:rsidRPr="00282002" w:rsidRDefault="00FD194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Subdirección de Datos Personales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52219D" w:rsidRPr="00282002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(228) 8</w:t>
            </w:r>
            <w:r w:rsidR="00FD1945" w:rsidRPr="00282002">
              <w:rPr>
                <w:rFonts w:ascii="Neo Sans Pro" w:hAnsi="Neo Sans Pro"/>
                <w:bCs/>
                <w:sz w:val="16"/>
                <w:szCs w:val="16"/>
              </w:rPr>
              <w:t>416170</w:t>
            </w:r>
          </w:p>
          <w:p w:rsidR="00685E55" w:rsidRPr="00282002" w:rsidRDefault="00FD194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Ext. 3037</w:t>
            </w:r>
          </w:p>
        </w:tc>
      </w:tr>
      <w:tr w:rsidR="002C2335" w:rsidRPr="00282002" w:rsidTr="00282002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282002" w:rsidTr="00ED3744">
        <w:trPr>
          <w:trHeight w:val="395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2C2335" w:rsidRPr="00282002" w:rsidRDefault="00FD1945" w:rsidP="00FD194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707, Col</w:t>
            </w:r>
            <w:r w:rsidR="0052219D" w:rsidRPr="00282002">
              <w:rPr>
                <w:rFonts w:ascii="Neo Sans Pro" w:hAnsi="Neo Sans Pro"/>
                <w:bCs/>
                <w:sz w:val="16"/>
                <w:szCs w:val="16"/>
              </w:rPr>
              <w:t xml:space="preserve">. </w:t>
            </w:r>
            <w:r w:rsidRPr="00282002">
              <w:rPr>
                <w:rFonts w:ascii="Neo Sans Pro" w:hAnsi="Neo Sans Pro"/>
                <w:bCs/>
                <w:sz w:val="16"/>
                <w:szCs w:val="16"/>
              </w:rPr>
              <w:t>Reserva Territorial</w:t>
            </w:r>
            <w:r w:rsidR="0052219D" w:rsidRPr="00282002">
              <w:rPr>
                <w:rFonts w:ascii="Neo Sans Pro" w:hAnsi="Neo Sans Pro"/>
                <w:bCs/>
                <w:sz w:val="16"/>
                <w:szCs w:val="16"/>
              </w:rPr>
              <w:t>, C.P. 91</w:t>
            </w:r>
            <w:r w:rsidRPr="00282002">
              <w:rPr>
                <w:rFonts w:ascii="Neo Sans Pro" w:hAnsi="Neo Sans Pro"/>
                <w:bCs/>
                <w:sz w:val="16"/>
                <w:szCs w:val="16"/>
              </w:rPr>
              <w:t>096</w:t>
            </w:r>
            <w:r w:rsidR="0052219D" w:rsidRPr="00282002">
              <w:rPr>
                <w:rFonts w:ascii="Neo Sans Pro" w:hAnsi="Neo Sans Pro"/>
                <w:bCs/>
                <w:sz w:val="16"/>
                <w:szCs w:val="16"/>
              </w:rPr>
              <w:t>, Xalapa, Ver.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2C2335" w:rsidRPr="00282002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685E55" w:rsidRPr="00282002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</w:tr>
      <w:tr w:rsidR="002C2335" w:rsidRPr="00282002" w:rsidTr="00282002">
        <w:trPr>
          <w:trHeight w:val="299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2C2335" w:rsidRPr="00282002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282002" w:rsidTr="00282002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601EF8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2C2335"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3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3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45360C" w:rsidRPr="00282002" w:rsidTr="00282002">
        <w:trPr>
          <w:trHeight w:val="58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360C" w:rsidRPr="00282002" w:rsidRDefault="0045360C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45360C" w:rsidRPr="00282002" w:rsidRDefault="0045360C" w:rsidP="00247B8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Director</w:t>
            </w:r>
            <w:r w:rsidR="007E16CF" w:rsidRPr="00282002">
              <w:rPr>
                <w:rFonts w:ascii="Neo Sans Pro" w:hAnsi="Neo Sans Pro"/>
                <w:bCs/>
                <w:sz w:val="16"/>
                <w:szCs w:val="16"/>
              </w:rPr>
              <w:t>(</w:t>
            </w:r>
            <w:r w:rsidRPr="00282002">
              <w:rPr>
                <w:rFonts w:ascii="Neo Sans Pro" w:hAnsi="Neo Sans Pro"/>
                <w:bCs/>
                <w:sz w:val="16"/>
                <w:szCs w:val="16"/>
              </w:rPr>
              <w:t>a</w:t>
            </w:r>
            <w:r w:rsidR="00247B81" w:rsidRPr="00282002">
              <w:rPr>
                <w:rFonts w:ascii="Neo Sans Pro" w:hAnsi="Neo Sans Pro"/>
                <w:bCs/>
                <w:sz w:val="16"/>
                <w:szCs w:val="16"/>
              </w:rPr>
              <w:t>) de Transparencia, Acceso a la Información y Protección de Datos Personales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Lunes a Viernes</w:t>
            </w:r>
          </w:p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  <w:p w:rsidR="0045360C" w:rsidRPr="00282002" w:rsidRDefault="0045360C" w:rsidP="00A7049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Ext. 3108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45360C" w:rsidRPr="00282002" w:rsidRDefault="0045360C" w:rsidP="00FD194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uaip.fgever@gmail.com</w:t>
            </w:r>
          </w:p>
        </w:tc>
      </w:tr>
      <w:tr w:rsidR="00282002" w:rsidRPr="00282002" w:rsidTr="00282002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002" w:rsidRPr="00282002" w:rsidRDefault="00282002" w:rsidP="0080636B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282002" w:rsidRPr="00282002" w:rsidRDefault="00282002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282002" w:rsidRPr="00282002" w:rsidRDefault="00282002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282002" w:rsidRPr="00282002" w:rsidRDefault="0028200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visitaduriagral_fge@veracruz.gob.mx</w:t>
            </w:r>
          </w:p>
        </w:tc>
      </w:tr>
      <w:tr w:rsidR="00282002" w:rsidRPr="00282002" w:rsidTr="00282002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002" w:rsidRPr="00282002" w:rsidRDefault="00282002" w:rsidP="00926C1A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Contralor(a) General de la Fiscalía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282002" w:rsidRPr="00282002" w:rsidRDefault="00282002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282002" w:rsidRPr="00282002" w:rsidRDefault="00282002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01 (228) 1681200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282002" w:rsidRPr="00282002" w:rsidRDefault="0028200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5822F3" w:rsidRPr="00282002" w:rsidTr="00282002">
        <w:trPr>
          <w:trHeight w:val="310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5822F3" w:rsidRPr="00282002" w:rsidRDefault="005822F3" w:rsidP="000D7A0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5822F3" w:rsidRPr="00282002" w:rsidTr="00282002">
        <w:trPr>
          <w:trHeight w:val="429"/>
        </w:trPr>
        <w:tc>
          <w:tcPr>
            <w:tcW w:w="11023" w:type="dxa"/>
            <w:gridSpan w:val="17"/>
            <w:shd w:val="clear" w:color="auto" w:fill="FFFFFF"/>
            <w:vAlign w:val="center"/>
          </w:tcPr>
          <w:p w:rsidR="005822F3" w:rsidRPr="00282002" w:rsidRDefault="005822F3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Subdirectora de Datos Personales</w:t>
            </w:r>
          </w:p>
        </w:tc>
      </w:tr>
    </w:tbl>
    <w:p w:rsidR="0097237C" w:rsidRPr="003D303F" w:rsidRDefault="0097237C" w:rsidP="00BF0E89">
      <w:pPr>
        <w:rPr>
          <w:sz w:val="10"/>
        </w:rPr>
      </w:pPr>
    </w:p>
    <w:sectPr w:rsidR="0097237C" w:rsidRPr="003D303F" w:rsidSect="00217CE0">
      <w:headerReference w:type="default" r:id="rId9"/>
      <w:pgSz w:w="12242" w:h="15842" w:code="1"/>
      <w:pgMar w:top="480" w:right="720" w:bottom="56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8D" w:rsidRDefault="00DA498D">
      <w:r>
        <w:separator/>
      </w:r>
    </w:p>
  </w:endnote>
  <w:endnote w:type="continuationSeparator" w:id="0">
    <w:p w:rsidR="00DA498D" w:rsidRDefault="00DA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8D" w:rsidRDefault="00DA498D">
      <w:r>
        <w:separator/>
      </w:r>
    </w:p>
  </w:footnote>
  <w:footnote w:type="continuationSeparator" w:id="0">
    <w:p w:rsidR="00DA498D" w:rsidRDefault="00DA4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5" w:rsidRDefault="00282002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5" style="position:absolute;left:0;text-align:left;margin-left:179.45pt;margin-top:38.25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4530;top:1500;width:4170;height:501;mso-width-relative:margin;mso-height-relative:margin" stroked="f">
            <v:textbox>
              <w:txbxContent>
                <w:p w:rsidR="00282002" w:rsidRDefault="00282002" w:rsidP="00282002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7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282002" w:rsidRDefault="00282002" w:rsidP="00282002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282002" w:rsidRDefault="00282002" w:rsidP="00282002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Pr="00282002">
      <w:rPr>
        <w:noProof/>
      </w:rPr>
      <w:t xml:space="preserve"> </w:t>
    </w:r>
    <w:r>
      <w:rPr>
        <w:noProof/>
      </w:rPr>
      <w:drawing>
        <wp:inline distT="0" distB="0" distL="0" distR="0" wp14:anchorId="3DB4B639" wp14:editId="44D7F3DA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BB4CA5" w:rsidRDefault="00BB4C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46D72"/>
    <w:multiLevelType w:val="hybridMultilevel"/>
    <w:tmpl w:val="7480CEF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16E48"/>
    <w:multiLevelType w:val="hybridMultilevel"/>
    <w:tmpl w:val="BA54B1AA"/>
    <w:lvl w:ilvl="0" w:tplc="69EA9FE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E7CD9"/>
    <w:multiLevelType w:val="hybridMultilevel"/>
    <w:tmpl w:val="BA5E2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05285"/>
    <w:rsid w:val="00017B23"/>
    <w:rsid w:val="000236A8"/>
    <w:rsid w:val="00031582"/>
    <w:rsid w:val="00045154"/>
    <w:rsid w:val="00056C6D"/>
    <w:rsid w:val="00062CBF"/>
    <w:rsid w:val="00070ECC"/>
    <w:rsid w:val="000803A0"/>
    <w:rsid w:val="000879DB"/>
    <w:rsid w:val="000A0B13"/>
    <w:rsid w:val="000A4E60"/>
    <w:rsid w:val="000B16B3"/>
    <w:rsid w:val="000C018B"/>
    <w:rsid w:val="000D04C5"/>
    <w:rsid w:val="000D061D"/>
    <w:rsid w:val="000D25F0"/>
    <w:rsid w:val="000D2855"/>
    <w:rsid w:val="000D4789"/>
    <w:rsid w:val="000D78B1"/>
    <w:rsid w:val="000D7A01"/>
    <w:rsid w:val="000E2FB0"/>
    <w:rsid w:val="00107D4A"/>
    <w:rsid w:val="001369B1"/>
    <w:rsid w:val="00137AF2"/>
    <w:rsid w:val="00154F93"/>
    <w:rsid w:val="00160DC0"/>
    <w:rsid w:val="001650B5"/>
    <w:rsid w:val="001666B2"/>
    <w:rsid w:val="00170DCF"/>
    <w:rsid w:val="0018383D"/>
    <w:rsid w:val="00187C38"/>
    <w:rsid w:val="00196816"/>
    <w:rsid w:val="001A1ED0"/>
    <w:rsid w:val="001A3A4C"/>
    <w:rsid w:val="001A3B63"/>
    <w:rsid w:val="001B3A14"/>
    <w:rsid w:val="001C390E"/>
    <w:rsid w:val="001C6619"/>
    <w:rsid w:val="001D3F1E"/>
    <w:rsid w:val="001E2E6B"/>
    <w:rsid w:val="001F265D"/>
    <w:rsid w:val="00205308"/>
    <w:rsid w:val="00211D8B"/>
    <w:rsid w:val="00217CE0"/>
    <w:rsid w:val="002220B5"/>
    <w:rsid w:val="00244512"/>
    <w:rsid w:val="00247B81"/>
    <w:rsid w:val="00251097"/>
    <w:rsid w:val="00264652"/>
    <w:rsid w:val="0026640E"/>
    <w:rsid w:val="00282002"/>
    <w:rsid w:val="002945B3"/>
    <w:rsid w:val="002A1786"/>
    <w:rsid w:val="002A641D"/>
    <w:rsid w:val="002B2BE3"/>
    <w:rsid w:val="002B4732"/>
    <w:rsid w:val="002C2335"/>
    <w:rsid w:val="002C50A9"/>
    <w:rsid w:val="002C7CD8"/>
    <w:rsid w:val="002E0678"/>
    <w:rsid w:val="003061BB"/>
    <w:rsid w:val="00306B97"/>
    <w:rsid w:val="00313DD6"/>
    <w:rsid w:val="003150B5"/>
    <w:rsid w:val="003667FC"/>
    <w:rsid w:val="00375985"/>
    <w:rsid w:val="00375B80"/>
    <w:rsid w:val="003B19B6"/>
    <w:rsid w:val="003B1BA4"/>
    <w:rsid w:val="003D303F"/>
    <w:rsid w:val="003D404F"/>
    <w:rsid w:val="003E4080"/>
    <w:rsid w:val="003E470D"/>
    <w:rsid w:val="003E5A04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52B6C"/>
    <w:rsid w:val="0045360C"/>
    <w:rsid w:val="00454F8D"/>
    <w:rsid w:val="004671C2"/>
    <w:rsid w:val="00482DDC"/>
    <w:rsid w:val="00487592"/>
    <w:rsid w:val="0049612C"/>
    <w:rsid w:val="004A7B21"/>
    <w:rsid w:val="004B1B37"/>
    <w:rsid w:val="004D20DC"/>
    <w:rsid w:val="004E0F59"/>
    <w:rsid w:val="004F0759"/>
    <w:rsid w:val="004F0D8B"/>
    <w:rsid w:val="004F36D5"/>
    <w:rsid w:val="005035D7"/>
    <w:rsid w:val="0050491E"/>
    <w:rsid w:val="00520D1A"/>
    <w:rsid w:val="0052219D"/>
    <w:rsid w:val="005344BB"/>
    <w:rsid w:val="005527A0"/>
    <w:rsid w:val="00563094"/>
    <w:rsid w:val="005822F3"/>
    <w:rsid w:val="005B3426"/>
    <w:rsid w:val="005C1DB6"/>
    <w:rsid w:val="005D6057"/>
    <w:rsid w:val="005E1651"/>
    <w:rsid w:val="005F1297"/>
    <w:rsid w:val="005F33A0"/>
    <w:rsid w:val="00601EF8"/>
    <w:rsid w:val="00631C4F"/>
    <w:rsid w:val="00631DFD"/>
    <w:rsid w:val="00647B9C"/>
    <w:rsid w:val="00653EF8"/>
    <w:rsid w:val="006546C6"/>
    <w:rsid w:val="00667B02"/>
    <w:rsid w:val="00676632"/>
    <w:rsid w:val="006850E4"/>
    <w:rsid w:val="00685E55"/>
    <w:rsid w:val="006A5E74"/>
    <w:rsid w:val="006A6EB1"/>
    <w:rsid w:val="006C3B61"/>
    <w:rsid w:val="006C7791"/>
    <w:rsid w:val="006E7A64"/>
    <w:rsid w:val="006F07F3"/>
    <w:rsid w:val="00701B3E"/>
    <w:rsid w:val="0070280B"/>
    <w:rsid w:val="0070340D"/>
    <w:rsid w:val="0071048A"/>
    <w:rsid w:val="00715E9C"/>
    <w:rsid w:val="00716910"/>
    <w:rsid w:val="007176B7"/>
    <w:rsid w:val="007249E9"/>
    <w:rsid w:val="007517D5"/>
    <w:rsid w:val="007850FC"/>
    <w:rsid w:val="0079309E"/>
    <w:rsid w:val="007960E6"/>
    <w:rsid w:val="007A14F8"/>
    <w:rsid w:val="007A51DA"/>
    <w:rsid w:val="007C6B8D"/>
    <w:rsid w:val="007E16CF"/>
    <w:rsid w:val="007E27A8"/>
    <w:rsid w:val="007F2A1A"/>
    <w:rsid w:val="007F4448"/>
    <w:rsid w:val="007F7F7E"/>
    <w:rsid w:val="00814A62"/>
    <w:rsid w:val="0081561C"/>
    <w:rsid w:val="008264BC"/>
    <w:rsid w:val="00830E93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2DDB"/>
    <w:rsid w:val="008E5077"/>
    <w:rsid w:val="008E5A6B"/>
    <w:rsid w:val="008F70C2"/>
    <w:rsid w:val="0090122F"/>
    <w:rsid w:val="009057FA"/>
    <w:rsid w:val="00906E25"/>
    <w:rsid w:val="009126A8"/>
    <w:rsid w:val="00916863"/>
    <w:rsid w:val="00926C1A"/>
    <w:rsid w:val="009327DA"/>
    <w:rsid w:val="0097237C"/>
    <w:rsid w:val="00980170"/>
    <w:rsid w:val="009825B3"/>
    <w:rsid w:val="00987CF6"/>
    <w:rsid w:val="00987E3E"/>
    <w:rsid w:val="00995A09"/>
    <w:rsid w:val="009B4785"/>
    <w:rsid w:val="009B4CC3"/>
    <w:rsid w:val="009B60EF"/>
    <w:rsid w:val="009C286A"/>
    <w:rsid w:val="009C3F55"/>
    <w:rsid w:val="009C54B9"/>
    <w:rsid w:val="009D5085"/>
    <w:rsid w:val="009E0C50"/>
    <w:rsid w:val="009F2EB0"/>
    <w:rsid w:val="009F5520"/>
    <w:rsid w:val="00A03195"/>
    <w:rsid w:val="00A132D7"/>
    <w:rsid w:val="00A14116"/>
    <w:rsid w:val="00A1425F"/>
    <w:rsid w:val="00A14546"/>
    <w:rsid w:val="00A25F3B"/>
    <w:rsid w:val="00A43252"/>
    <w:rsid w:val="00A544F9"/>
    <w:rsid w:val="00A70496"/>
    <w:rsid w:val="00A95E13"/>
    <w:rsid w:val="00AA291B"/>
    <w:rsid w:val="00AB7285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52987"/>
    <w:rsid w:val="00B73B3D"/>
    <w:rsid w:val="00B848D0"/>
    <w:rsid w:val="00B84F86"/>
    <w:rsid w:val="00B87368"/>
    <w:rsid w:val="00BA6424"/>
    <w:rsid w:val="00BA7EAC"/>
    <w:rsid w:val="00BB4CA5"/>
    <w:rsid w:val="00BD6572"/>
    <w:rsid w:val="00BD71C8"/>
    <w:rsid w:val="00BF0E89"/>
    <w:rsid w:val="00C11D67"/>
    <w:rsid w:val="00C35CFC"/>
    <w:rsid w:val="00C37DBE"/>
    <w:rsid w:val="00C43F33"/>
    <w:rsid w:val="00C4740F"/>
    <w:rsid w:val="00C553CF"/>
    <w:rsid w:val="00C70E12"/>
    <w:rsid w:val="00C711A7"/>
    <w:rsid w:val="00C812EC"/>
    <w:rsid w:val="00C96263"/>
    <w:rsid w:val="00CA777A"/>
    <w:rsid w:val="00CB2061"/>
    <w:rsid w:val="00CB2846"/>
    <w:rsid w:val="00CB48D3"/>
    <w:rsid w:val="00CB61C9"/>
    <w:rsid w:val="00CD54C6"/>
    <w:rsid w:val="00CF2F5B"/>
    <w:rsid w:val="00D21513"/>
    <w:rsid w:val="00D41275"/>
    <w:rsid w:val="00D578E3"/>
    <w:rsid w:val="00D6225D"/>
    <w:rsid w:val="00D90E71"/>
    <w:rsid w:val="00D94040"/>
    <w:rsid w:val="00DA46F3"/>
    <w:rsid w:val="00DA498D"/>
    <w:rsid w:val="00DA51E7"/>
    <w:rsid w:val="00DA7BB7"/>
    <w:rsid w:val="00DC0E11"/>
    <w:rsid w:val="00DC1785"/>
    <w:rsid w:val="00DC65D5"/>
    <w:rsid w:val="00DD7AFA"/>
    <w:rsid w:val="00DF3FD8"/>
    <w:rsid w:val="00E0132D"/>
    <w:rsid w:val="00E355F2"/>
    <w:rsid w:val="00E44882"/>
    <w:rsid w:val="00E7045E"/>
    <w:rsid w:val="00EB79BC"/>
    <w:rsid w:val="00EC07F5"/>
    <w:rsid w:val="00ED124F"/>
    <w:rsid w:val="00ED3744"/>
    <w:rsid w:val="00ED77C8"/>
    <w:rsid w:val="00EE3350"/>
    <w:rsid w:val="00EF4916"/>
    <w:rsid w:val="00EF5AAC"/>
    <w:rsid w:val="00F111FA"/>
    <w:rsid w:val="00F15627"/>
    <w:rsid w:val="00F17E6F"/>
    <w:rsid w:val="00F35A80"/>
    <w:rsid w:val="00F510EE"/>
    <w:rsid w:val="00F55C18"/>
    <w:rsid w:val="00F55EC7"/>
    <w:rsid w:val="00F63570"/>
    <w:rsid w:val="00F67FFD"/>
    <w:rsid w:val="00F76A8B"/>
    <w:rsid w:val="00F77021"/>
    <w:rsid w:val="00F97D65"/>
    <w:rsid w:val="00FA3FE0"/>
    <w:rsid w:val="00FB2E13"/>
    <w:rsid w:val="00FC39E1"/>
    <w:rsid w:val="00FD1945"/>
    <w:rsid w:val="00FD4DC2"/>
    <w:rsid w:val="00FD58EF"/>
    <w:rsid w:val="00FD61C7"/>
    <w:rsid w:val="00FE270E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FD1945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F55C1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29B9-929D-478F-B51F-DF098FD8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PATRICIA</dc:creator>
  <cp:lastModifiedBy>Jennifer Lara</cp:lastModifiedBy>
  <cp:revision>5</cp:revision>
  <cp:lastPrinted>2015-10-13T17:44:00Z</cp:lastPrinted>
  <dcterms:created xsi:type="dcterms:W3CDTF">2016-10-10T18:32:00Z</dcterms:created>
  <dcterms:modified xsi:type="dcterms:W3CDTF">2017-04-04T17:29:00Z</dcterms:modified>
</cp:coreProperties>
</file>